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EF" w:rsidRPr="00E941EF" w:rsidRDefault="00E941EF" w:rsidP="00E941EF">
      <w:pPr>
        <w:bidi/>
        <w:spacing w:after="160" w:line="259" w:lineRule="auto"/>
        <w:jc w:val="both"/>
        <w:rPr>
          <w:rFonts w:asciiTheme="minorBidi" w:eastAsia="Calibri" w:hAnsiTheme="minorBidi"/>
          <w:b/>
          <w:bCs/>
          <w:sz w:val="28"/>
          <w:szCs w:val="28"/>
          <w:rtl/>
        </w:rPr>
      </w:pPr>
      <w:bookmarkStart w:id="0" w:name="_GoBack"/>
      <w:r w:rsidRPr="00E941EF">
        <w:rPr>
          <w:rFonts w:asciiTheme="minorBidi" w:eastAsia="Calibri" w:hAnsiTheme="minorBidi"/>
          <w:b/>
          <w:bCs/>
          <w:sz w:val="28"/>
          <w:szCs w:val="28"/>
          <w:rtl/>
        </w:rPr>
        <w:t>رتبه‌بندی موسسه تایمز</w:t>
      </w:r>
    </w:p>
    <w:bookmarkEnd w:id="0"/>
    <w:p w:rsidR="00E941EF" w:rsidRPr="00E941EF" w:rsidRDefault="00E941EF" w:rsidP="00E941EF">
      <w:pPr>
        <w:bidi/>
        <w:spacing w:after="160" w:line="259" w:lineRule="auto"/>
        <w:jc w:val="both"/>
        <w:rPr>
          <w:rFonts w:asciiTheme="minorBidi" w:eastAsia="Calibri" w:hAnsiTheme="minorBidi"/>
          <w:sz w:val="28"/>
          <w:szCs w:val="28"/>
        </w:rPr>
      </w:pPr>
      <w:r w:rsidRPr="00E941EF">
        <w:rPr>
          <w:rFonts w:asciiTheme="minorBidi" w:eastAsia="Calibri" w:hAnsiTheme="minorBidi"/>
          <w:sz w:val="28"/>
          <w:szCs w:val="28"/>
          <w:rtl/>
        </w:rPr>
        <w:t>در رتبه‌بندی جدید این موسسه 13 شاخص در نظر گرفته شده است که در پنج دسته آموزش، تحقیقات، انتقال دانش (میزان ارجاع به مقالات)، درآمد صنعتی و وجهه بین‌المللی دسته‌بندی شده‌اند</w:t>
      </w:r>
      <w:r w:rsidRPr="00E941EF">
        <w:rPr>
          <w:rFonts w:asciiTheme="minorBidi" w:eastAsia="Calibri" w:hAnsiTheme="minorBidi"/>
          <w:sz w:val="28"/>
          <w:szCs w:val="28"/>
        </w:rPr>
        <w:t>.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آموزش</w:t>
      </w:r>
    </w:p>
    <w:p w:rsidR="00E941EF" w:rsidRPr="00E941EF" w:rsidRDefault="00E941EF" w:rsidP="00E941EF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1.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شهرت دانشگاه</w:t>
      </w:r>
      <w:r w:rsidRPr="00E941EF">
        <w:rPr>
          <w:rFonts w:asciiTheme="minorBidi" w:eastAsia="Times New Roman" w:hAnsiTheme="minorBidi"/>
          <w:sz w:val="28"/>
          <w:szCs w:val="28"/>
          <w:rtl/>
        </w:rPr>
        <w:t>: در ارتباط با شهرت دانشگاه از صاحب‌نظران حوزه‌های مختلف موضوعی نظرسنجی می‌شود (وزن 15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E941EF" w:rsidRPr="00E941EF" w:rsidRDefault="00E941EF" w:rsidP="00E941EF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2.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نسبت اعضای هیئت علمی به دانشجو</w:t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 (وزن 5/4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3.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نسبت دانشجویان دکتری به دانشجویان کارشناسی </w:t>
      </w:r>
      <w:r w:rsidRPr="00E941EF">
        <w:rPr>
          <w:rFonts w:asciiTheme="minorBidi" w:eastAsia="Times New Roman" w:hAnsiTheme="minorBidi"/>
          <w:sz w:val="28"/>
          <w:szCs w:val="28"/>
          <w:rtl/>
        </w:rPr>
        <w:t>(وزن 25/2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E941EF" w:rsidRDefault="00E941EF" w:rsidP="00E941EF">
      <w:pPr>
        <w:bidi/>
        <w:spacing w:after="0" w:line="240" w:lineRule="auto"/>
        <w:rPr>
          <w:rFonts w:asciiTheme="minorBidi" w:eastAsia="Times New Roman" w:hAnsiTheme="minorBidi" w:hint="cs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4.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نسبت فارغ التحصیلان دکتری به اعضای هیئت علمی </w:t>
      </w:r>
      <w:r w:rsidRPr="00E941EF">
        <w:rPr>
          <w:rFonts w:asciiTheme="minorBidi" w:eastAsia="Times New Roman" w:hAnsiTheme="minorBidi"/>
          <w:sz w:val="28"/>
          <w:szCs w:val="28"/>
          <w:rtl/>
        </w:rPr>
        <w:t>(وزن 6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5.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درآمد دانشگاه </w:t>
      </w:r>
      <w:r w:rsidRPr="00E941EF">
        <w:rPr>
          <w:rFonts w:asciiTheme="minorBidi" w:eastAsia="Times New Roman" w:hAnsiTheme="minorBidi"/>
          <w:sz w:val="28"/>
          <w:szCs w:val="28"/>
          <w:rtl/>
        </w:rPr>
        <w:t>(وزن 25/2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پژوهش</w:t>
      </w:r>
    </w:p>
    <w:p w:rsidR="00E941EF" w:rsidRPr="00E941EF" w:rsidRDefault="00E941EF" w:rsidP="00E941EF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6.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شهرت پژوهشی دانشگاه</w:t>
      </w:r>
      <w:r w:rsidRPr="00E941EF">
        <w:rPr>
          <w:rFonts w:asciiTheme="minorBidi" w:eastAsia="Times New Roman" w:hAnsiTheme="minorBidi"/>
          <w:sz w:val="28"/>
          <w:szCs w:val="28"/>
          <w:rtl/>
        </w:rPr>
        <w:t>: شهرت پژوهشی دانشگاه از طریق نظرسنجی از صاحب‌نظران به دست می‌آید (وزن 18 درصد)</w:t>
      </w:r>
      <w:r w:rsidRPr="00E941EF">
        <w:rPr>
          <w:rFonts w:asciiTheme="minorBidi" w:eastAsia="Times New Roman" w:hAnsiTheme="minorBidi"/>
          <w:sz w:val="28"/>
          <w:szCs w:val="28"/>
        </w:rPr>
        <w:t>.</w:t>
      </w:r>
    </w:p>
    <w:p w:rsidR="00E941EF" w:rsidRPr="00E941EF" w:rsidRDefault="00E941EF" w:rsidP="00E941EF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7. بهره‌وری پژوهشی</w:t>
      </w:r>
      <w:r w:rsidRPr="00E941EF">
        <w:rPr>
          <w:rFonts w:asciiTheme="minorBidi" w:eastAsia="Times New Roman" w:hAnsiTheme="minorBidi"/>
          <w:sz w:val="28"/>
          <w:szCs w:val="28"/>
          <w:rtl/>
        </w:rPr>
        <w:t>: تعداد مقالات منتشر شده توسط دانشگاه که در مجلات معتبر پایگاه استنادی اسکوپوس نمایه شده است (وزن 6 درصد)</w:t>
      </w:r>
      <w:r w:rsidRPr="00E941EF">
        <w:rPr>
          <w:rFonts w:asciiTheme="minorBidi" w:eastAsia="Times New Roman" w:hAnsiTheme="minorBidi"/>
          <w:sz w:val="28"/>
          <w:szCs w:val="28"/>
        </w:rPr>
        <w:t>.</w:t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E941EF" w:rsidRPr="00E941EF" w:rsidRDefault="00E941EF" w:rsidP="00E941EF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8. </w:t>
      </w: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درآمد پژوهشی:</w:t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 درآمد پژوهشی دانشگاه به ازای هر عضو هیئت علمی (وزن 6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  <w:r w:rsidRPr="00E941EF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استناد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9. </w:t>
      </w:r>
      <w:r w:rsidRPr="00E941EF">
        <w:rPr>
          <w:rFonts w:asciiTheme="minorBidi" w:eastAsia="Times New Roman" w:hAnsiTheme="minorBidi"/>
          <w:sz w:val="28"/>
          <w:szCs w:val="28"/>
          <w:rtl/>
        </w:rPr>
        <w:t>تعداد استنادهایی که مقالات دانشگاه در پایگاه استنادی اسکوپوس دریافت کرده است (وزن 30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وجهه بین‌المللی</w:t>
      </w:r>
    </w:p>
    <w:p w:rsidR="00E941EF" w:rsidRPr="00E941EF" w:rsidRDefault="00E941EF" w:rsidP="00E941EF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sz w:val="28"/>
          <w:szCs w:val="28"/>
          <w:rtl/>
        </w:rPr>
        <w:t>10. نسبت دانشجویان بین المللی به دانشجویان داخلی(وزن 5/2 درصد)</w:t>
      </w:r>
      <w:r w:rsidRPr="00E941EF">
        <w:rPr>
          <w:rFonts w:asciiTheme="minorBidi" w:eastAsia="Times New Roman" w:hAnsiTheme="minorBidi"/>
          <w:sz w:val="28"/>
          <w:szCs w:val="28"/>
        </w:rPr>
        <w:t xml:space="preserve"> </w:t>
      </w: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sz w:val="28"/>
          <w:szCs w:val="28"/>
          <w:rtl/>
        </w:rPr>
        <w:t xml:space="preserve">11. نسبت اعضای هیئت علمی بین المللی به اعضای هیئت علمی داخلی(وزن 5/2درصد) </w:t>
      </w:r>
      <w:r w:rsidRPr="00E941EF">
        <w:rPr>
          <w:rFonts w:asciiTheme="minorBidi" w:eastAsia="Times New Roman" w:hAnsiTheme="minorBidi"/>
          <w:sz w:val="28"/>
          <w:szCs w:val="28"/>
        </w:rPr>
        <w:t xml:space="preserve">  </w:t>
      </w:r>
      <w:r w:rsidRPr="00E941EF">
        <w:rPr>
          <w:rFonts w:asciiTheme="minorBidi" w:eastAsia="Times New Roman" w:hAnsiTheme="minorBidi"/>
          <w:sz w:val="28"/>
          <w:szCs w:val="28"/>
        </w:rPr>
        <w:br/>
      </w:r>
      <w:r w:rsidRPr="00E941EF">
        <w:rPr>
          <w:rFonts w:asciiTheme="minorBidi" w:eastAsia="Times New Roman" w:hAnsiTheme="minorBidi"/>
          <w:sz w:val="28"/>
          <w:szCs w:val="28"/>
          <w:rtl/>
        </w:rPr>
        <w:t>12. همکاری بین‌المللی: تعداد مقالاتی که با مشارکت پژوهشگران سایر کشورها نوشته شده است(وزن 5/2 درصد)</w:t>
      </w:r>
      <w:r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>درآمد صنعتی</w:t>
      </w:r>
    </w:p>
    <w:p w:rsidR="00E941EF" w:rsidRPr="00E941EF" w:rsidRDefault="00E941EF" w:rsidP="00E941EF">
      <w:pPr>
        <w:bidi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sz w:val="28"/>
          <w:szCs w:val="28"/>
          <w:rtl/>
        </w:rPr>
      </w:pPr>
      <w:r w:rsidRPr="00E941E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13. </w:t>
      </w:r>
      <w:r w:rsidRPr="00E941EF">
        <w:rPr>
          <w:rFonts w:asciiTheme="minorBidi" w:eastAsia="Times New Roman" w:hAnsiTheme="minorBidi"/>
          <w:sz w:val="28"/>
          <w:szCs w:val="28"/>
          <w:rtl/>
        </w:rPr>
        <w:t>این شاخص از طریق نسبت درآمد حاصل از صنعت دانشگاه به تعداد اعضای هیئت علمی محاسبه می‌شود(وزن 5/2 درصد)</w:t>
      </w:r>
    </w:p>
    <w:p w:rsidR="00964233" w:rsidRPr="00E941EF" w:rsidRDefault="00964233" w:rsidP="00E941EF">
      <w:pPr>
        <w:bidi/>
        <w:rPr>
          <w:rFonts w:asciiTheme="minorBidi" w:hAnsiTheme="minorBidi"/>
        </w:rPr>
      </w:pPr>
    </w:p>
    <w:sectPr w:rsidR="00964233" w:rsidRPr="00E9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F"/>
    <w:rsid w:val="00964233"/>
    <w:rsid w:val="00E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Mohamadyari</dc:creator>
  <cp:lastModifiedBy>Behzad Mohamadyari</cp:lastModifiedBy>
  <cp:revision>1</cp:revision>
  <dcterms:created xsi:type="dcterms:W3CDTF">2018-10-28T11:18:00Z</dcterms:created>
  <dcterms:modified xsi:type="dcterms:W3CDTF">2018-10-28T11:20:00Z</dcterms:modified>
</cp:coreProperties>
</file>